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4AB3" w:rsidRDefault="00C67D40" w:rsidP="00C67D40">
      <w:pPr>
        <w:pStyle w:val="Title"/>
        <w:rPr>
          <w:sz w:val="28"/>
          <w:szCs w:val="28"/>
        </w:rPr>
      </w:pPr>
      <w:r>
        <w:rPr>
          <w:sz w:val="28"/>
          <w:szCs w:val="28"/>
        </w:rPr>
        <w:t>Summaries of Registration Requirements for El Salvador</w:t>
      </w:r>
    </w:p>
    <w:p w:rsidR="00C67D40" w:rsidRDefault="00C67D40" w:rsidP="00C67D40">
      <w:pPr>
        <w:rPr>
          <w:b/>
        </w:rPr>
      </w:pPr>
      <w:r w:rsidRPr="00B41989">
        <w:rPr>
          <w:b/>
        </w:rPr>
        <w:t>LAW ON PLANT AND ANIMAL HEALTH</w:t>
      </w:r>
      <w:r w:rsidRPr="00C67D40">
        <w:rPr>
          <w:b/>
        </w:rPr>
        <w:t xml:space="preserve"> </w:t>
      </w:r>
      <w:r>
        <w:rPr>
          <w:b/>
        </w:rPr>
        <w:t>(</w:t>
      </w:r>
      <w:r w:rsidRPr="00C67D40">
        <w:rPr>
          <w:b/>
        </w:rPr>
        <w:t>DECREE Number 524</w:t>
      </w:r>
      <w:r>
        <w:rPr>
          <w:b/>
        </w:rPr>
        <w:t>)</w:t>
      </w:r>
    </w:p>
    <w:p w:rsidR="00C67D40" w:rsidRDefault="00E73E49" w:rsidP="00C67D40">
      <w:r w:rsidRPr="00E73E49">
        <w:t>This law aims to establish basic rules for the protection of health of plants and animals.</w:t>
      </w:r>
    </w:p>
    <w:p w:rsidR="00E73E49" w:rsidRPr="00C67D40" w:rsidRDefault="00E73E49" w:rsidP="00C67D40"/>
    <w:p w:rsidR="00E21CF5" w:rsidRDefault="00E21CF5" w:rsidP="00121599">
      <w:pPr>
        <w:rPr>
          <w:b/>
          <w:bCs/>
        </w:rPr>
      </w:pPr>
      <w:r w:rsidRPr="0014201B">
        <w:rPr>
          <w:b/>
        </w:rPr>
        <w:t xml:space="preserve">CENTRAL AMERICAN SANITARY AND PHYTOSANITARY GUIDELINES </w:t>
      </w:r>
      <w:r>
        <w:rPr>
          <w:b/>
        </w:rPr>
        <w:t xml:space="preserve">FOR TRADE FACILITATION OF SHIPMENTS </w:t>
      </w:r>
      <w:r w:rsidRPr="0014201B">
        <w:rPr>
          <w:b/>
        </w:rPr>
        <w:t>AND GOODS</w:t>
      </w:r>
      <w:r>
        <w:rPr>
          <w:b/>
        </w:rPr>
        <w:t xml:space="preserve"> [</w:t>
      </w:r>
      <w:r w:rsidRPr="003C05E6">
        <w:rPr>
          <w:b/>
          <w:bCs/>
        </w:rPr>
        <w:t>ANNEX OF RESOLUTION No.</w:t>
      </w:r>
      <w:r>
        <w:rPr>
          <w:b/>
          <w:bCs/>
        </w:rPr>
        <w:t xml:space="preserve"> </w:t>
      </w:r>
      <w:r w:rsidRPr="003C05E6">
        <w:rPr>
          <w:b/>
          <w:bCs/>
        </w:rPr>
        <w:t>33</w:t>
      </w:r>
      <w:r>
        <w:rPr>
          <w:b/>
          <w:bCs/>
        </w:rPr>
        <w:t>8</w:t>
      </w:r>
      <w:r w:rsidRPr="003C05E6">
        <w:rPr>
          <w:b/>
          <w:bCs/>
        </w:rPr>
        <w:t>-201</w:t>
      </w:r>
      <w:r>
        <w:rPr>
          <w:b/>
          <w:bCs/>
        </w:rPr>
        <w:t>4</w:t>
      </w:r>
      <w:r w:rsidRPr="003C05E6">
        <w:rPr>
          <w:b/>
          <w:bCs/>
        </w:rPr>
        <w:t xml:space="preserve"> (COMIECO-</w:t>
      </w:r>
      <w:r>
        <w:rPr>
          <w:b/>
          <w:bCs/>
        </w:rPr>
        <w:t>E</w:t>
      </w:r>
      <w:r w:rsidRPr="003C05E6">
        <w:rPr>
          <w:b/>
          <w:bCs/>
        </w:rPr>
        <w:t>X)</w:t>
      </w:r>
      <w:r>
        <w:rPr>
          <w:b/>
          <w:bCs/>
        </w:rPr>
        <w:t>]</w:t>
      </w:r>
    </w:p>
    <w:p w:rsidR="00E21CF5" w:rsidRDefault="00E21CF5" w:rsidP="00121599">
      <w:r w:rsidRPr="00E21CF5">
        <w:t>To establish procedures to simplify the application of sanitary and phytosanitary measures with the aim of trade facilitation of shipments and goods, taking account of considerations of the risk associated with them, as well as production systems, areas or sites of production and processing establishments.</w:t>
      </w:r>
      <w:r>
        <w:t xml:space="preserve"> The specific objectives are to:</w:t>
      </w:r>
      <w:bookmarkStart w:id="0" w:name="_GoBack"/>
      <w:bookmarkEnd w:id="0"/>
    </w:p>
    <w:p w:rsidR="00E21CF5" w:rsidRDefault="00E21CF5" w:rsidP="00E21CF5">
      <w:pPr>
        <w:pStyle w:val="ListParagraph"/>
        <w:numPr>
          <w:ilvl w:val="0"/>
          <w:numId w:val="3"/>
        </w:numPr>
      </w:pPr>
      <w:r w:rsidRPr="00433DCA">
        <w:t xml:space="preserve">Improve the control on the application of sanitary and phytosanitary measures </w:t>
      </w:r>
      <w:r>
        <w:t xml:space="preserve">for trade facilitation of </w:t>
      </w:r>
      <w:r w:rsidRPr="00433DCA">
        <w:t>shipments</w:t>
      </w:r>
      <w:r>
        <w:t xml:space="preserve"> and goods</w:t>
      </w:r>
      <w:r w:rsidRPr="00433DCA">
        <w:t>.</w:t>
      </w:r>
    </w:p>
    <w:p w:rsidR="00E21CF5" w:rsidRDefault="00E21CF5" w:rsidP="00E21CF5">
      <w:pPr>
        <w:pStyle w:val="ListParagraph"/>
        <w:numPr>
          <w:ilvl w:val="0"/>
          <w:numId w:val="3"/>
        </w:numPr>
      </w:pPr>
      <w:r>
        <w:t>Categoris</w:t>
      </w:r>
      <w:r w:rsidRPr="002A6BB0">
        <w:t xml:space="preserve">e by </w:t>
      </w:r>
      <w:r>
        <w:t xml:space="preserve">developing </w:t>
      </w:r>
      <w:r w:rsidRPr="002A6BB0">
        <w:t>a list of shipments and goods, according to the associated risk.</w:t>
      </w:r>
    </w:p>
    <w:p w:rsidR="00E21CF5" w:rsidRPr="00E21CF5" w:rsidRDefault="00E21CF5" w:rsidP="00E21CF5">
      <w:pPr>
        <w:pStyle w:val="ListParagraph"/>
        <w:numPr>
          <w:ilvl w:val="0"/>
          <w:numId w:val="3"/>
        </w:numPr>
      </w:pPr>
      <w:r w:rsidRPr="008760B2">
        <w:t>Simplify documents and streamline procedures relating to the trade of goods and shipments.</w:t>
      </w:r>
    </w:p>
    <w:p w:rsidR="00E21CF5" w:rsidRDefault="00E21CF5" w:rsidP="00121599">
      <w:pPr>
        <w:rPr>
          <w:b/>
        </w:rPr>
      </w:pPr>
    </w:p>
    <w:p w:rsidR="00C67D40" w:rsidRDefault="00121599" w:rsidP="00121599">
      <w:pPr>
        <w:rPr>
          <w:b/>
        </w:rPr>
      </w:pPr>
      <w:r w:rsidRPr="00121599">
        <w:rPr>
          <w:b/>
        </w:rPr>
        <w:t>ALCOHOLIC BEVERAGES</w:t>
      </w:r>
      <w:r>
        <w:rPr>
          <w:b/>
        </w:rPr>
        <w:t xml:space="preserve"> (</w:t>
      </w:r>
      <w:r w:rsidRPr="00121599">
        <w:rPr>
          <w:b/>
        </w:rPr>
        <w:t>DISTILLED ALCOHOLIC BEVERAGES</w:t>
      </w:r>
      <w:r>
        <w:rPr>
          <w:b/>
        </w:rPr>
        <w:t>):</w:t>
      </w:r>
      <w:r w:rsidRPr="00121599">
        <w:rPr>
          <w:b/>
        </w:rPr>
        <w:t xml:space="preserve"> LABELLING REQUIREMENTS</w:t>
      </w:r>
      <w:r>
        <w:rPr>
          <w:b/>
        </w:rPr>
        <w:t xml:space="preserve"> (</w:t>
      </w:r>
      <w:r w:rsidR="00C67D40" w:rsidRPr="00C67D40">
        <w:rPr>
          <w:b/>
        </w:rPr>
        <w:t>ANNE</w:t>
      </w:r>
      <w:r>
        <w:rPr>
          <w:b/>
        </w:rPr>
        <w:t xml:space="preserve">X 2 OF RESOLUTION No. 332-2013 </w:t>
      </w:r>
      <w:r w:rsidR="00A443F3">
        <w:rPr>
          <w:b/>
        </w:rPr>
        <w:t>(</w:t>
      </w:r>
      <w:r w:rsidR="00C67D40" w:rsidRPr="00C67D40">
        <w:rPr>
          <w:b/>
        </w:rPr>
        <w:t>COMIECO-LXVI</w:t>
      </w:r>
      <w:r w:rsidR="00A443F3">
        <w:rPr>
          <w:b/>
        </w:rPr>
        <w:t>)</w:t>
      </w:r>
      <w:r w:rsidR="00C67D40" w:rsidRPr="00C67D40">
        <w:rPr>
          <w:b/>
        </w:rPr>
        <w:t>; RTCA 67.01.06:11</w:t>
      </w:r>
      <w:r>
        <w:rPr>
          <w:b/>
        </w:rPr>
        <w:t>)</w:t>
      </w:r>
    </w:p>
    <w:p w:rsidR="00C67D40" w:rsidRDefault="00C67D40" w:rsidP="00C67D40">
      <w:r>
        <w:t>To e</w:t>
      </w:r>
      <w:r w:rsidRPr="00935935">
        <w:t xml:space="preserve">stablish </w:t>
      </w:r>
      <w:r>
        <w:t xml:space="preserve">the </w:t>
      </w:r>
      <w:r w:rsidRPr="00935935">
        <w:t xml:space="preserve">requirements the labelling of </w:t>
      </w:r>
      <w:r>
        <w:t xml:space="preserve">pre-packaged </w:t>
      </w:r>
      <w:r w:rsidRPr="00935935">
        <w:t>distilled alcoholic beverages for human consumpti</w:t>
      </w:r>
      <w:r>
        <w:t xml:space="preserve">on </w:t>
      </w:r>
      <w:r w:rsidRPr="00935935">
        <w:t xml:space="preserve">that must </w:t>
      </w:r>
      <w:r>
        <w:t>be complied.</w:t>
      </w:r>
      <w:r w:rsidRPr="00C67D40">
        <w:t xml:space="preserve"> </w:t>
      </w:r>
      <w:r w:rsidRPr="0010555F">
        <w:t>Applies to the labelling of all distilled alcoholic beverages, alone or mixed</w:t>
      </w:r>
      <w:r>
        <w:t>,</w:t>
      </w:r>
      <w:r w:rsidRPr="0010555F">
        <w:t xml:space="preserve"> in their final unit </w:t>
      </w:r>
      <w:r>
        <w:t xml:space="preserve">of </w:t>
      </w:r>
      <w:r w:rsidRPr="0010555F">
        <w:t xml:space="preserve">presentation, and </w:t>
      </w:r>
      <w:r>
        <w:t xml:space="preserve">are </w:t>
      </w:r>
      <w:r w:rsidRPr="0010555F">
        <w:t>marketed in the territory of the Central American countries.</w:t>
      </w:r>
    </w:p>
    <w:p w:rsidR="00C67D40" w:rsidRDefault="00C67D40" w:rsidP="00C67D40"/>
    <w:p w:rsidR="00A443F3" w:rsidRDefault="00A443F3" w:rsidP="00121599">
      <w:pPr>
        <w:rPr>
          <w:b/>
          <w:bCs/>
        </w:rPr>
      </w:pPr>
      <w:r w:rsidRPr="00A443F3">
        <w:rPr>
          <w:b/>
          <w:bCs/>
        </w:rPr>
        <w:t xml:space="preserve">ALCOHOLIC BEVERAGES </w:t>
      </w:r>
      <w:r>
        <w:rPr>
          <w:b/>
          <w:bCs/>
        </w:rPr>
        <w:t>(</w:t>
      </w:r>
      <w:r w:rsidRPr="00A443F3">
        <w:rPr>
          <w:b/>
          <w:bCs/>
        </w:rPr>
        <w:t>FERMENTED ALCOHOLIC BEVERAGES</w:t>
      </w:r>
      <w:r>
        <w:rPr>
          <w:b/>
          <w:bCs/>
        </w:rPr>
        <w:t>): LABELLING REQUIREMENTS (</w:t>
      </w:r>
      <w:r w:rsidRPr="00C12A73">
        <w:rPr>
          <w:b/>
          <w:bCs/>
          <w:caps/>
        </w:rPr>
        <w:t>Annex 1 of resolution No. 33</w:t>
      </w:r>
      <w:r>
        <w:rPr>
          <w:b/>
          <w:bCs/>
          <w:caps/>
        </w:rPr>
        <w:t>2</w:t>
      </w:r>
      <w:r w:rsidRPr="00C12A73">
        <w:rPr>
          <w:b/>
          <w:bCs/>
          <w:caps/>
        </w:rPr>
        <w:t>-2013 (COMIECO-LXVI)</w:t>
      </w:r>
      <w:r>
        <w:rPr>
          <w:b/>
          <w:bCs/>
          <w:caps/>
        </w:rPr>
        <w:t xml:space="preserve">; </w:t>
      </w:r>
      <w:r w:rsidRPr="00C12A73">
        <w:rPr>
          <w:b/>
          <w:bCs/>
        </w:rPr>
        <w:t xml:space="preserve">RTCA </w:t>
      </w:r>
      <w:r>
        <w:rPr>
          <w:b/>
          <w:bCs/>
        </w:rPr>
        <w:t>67.01.05.11</w:t>
      </w:r>
      <w:r>
        <w:rPr>
          <w:b/>
          <w:bCs/>
        </w:rPr>
        <w:t>)</w:t>
      </w:r>
    </w:p>
    <w:p w:rsidR="00A443F3" w:rsidRPr="00A443F3" w:rsidRDefault="00A443F3" w:rsidP="00121599">
      <w:pPr>
        <w:rPr>
          <w:bCs/>
        </w:rPr>
      </w:pPr>
      <w:r w:rsidRPr="00A443F3">
        <w:rPr>
          <w:bCs/>
        </w:rPr>
        <w:t>To establish the requirements to be met for labelling of pre-packaged fermented alcoholic beverages for human consumption.</w:t>
      </w:r>
      <w:r w:rsidRPr="00A443F3">
        <w:t xml:space="preserve"> </w:t>
      </w:r>
      <w:r w:rsidRPr="00A443F3">
        <w:rPr>
          <w:bCs/>
        </w:rPr>
        <w:t>Applies to the labelling of all fermented alcoholic beverages, alone or mixed, in their final presentation unit and marketed in the territory of the Central American countries.</w:t>
      </w:r>
    </w:p>
    <w:p w:rsidR="00A443F3" w:rsidRDefault="00A443F3" w:rsidP="00121599">
      <w:pPr>
        <w:rPr>
          <w:b/>
          <w:bCs/>
        </w:rPr>
      </w:pPr>
    </w:p>
    <w:p w:rsidR="00121599" w:rsidRPr="00C67D40" w:rsidRDefault="00121599" w:rsidP="00121599">
      <w:pPr>
        <w:rPr>
          <w:b/>
        </w:rPr>
      </w:pPr>
      <w:r w:rsidRPr="00786442">
        <w:rPr>
          <w:b/>
          <w:bCs/>
        </w:rPr>
        <w:t>FERTILI</w:t>
      </w:r>
      <w:r>
        <w:rPr>
          <w:b/>
          <w:bCs/>
        </w:rPr>
        <w:t>S</w:t>
      </w:r>
      <w:r w:rsidRPr="00786442">
        <w:rPr>
          <w:b/>
          <w:bCs/>
        </w:rPr>
        <w:t xml:space="preserve">ERS AND </w:t>
      </w:r>
      <w:r>
        <w:rPr>
          <w:b/>
          <w:bCs/>
        </w:rPr>
        <w:t xml:space="preserve">SOIL CONDITIONERS FOR </w:t>
      </w:r>
      <w:r w:rsidRPr="00786442">
        <w:rPr>
          <w:b/>
          <w:bCs/>
        </w:rPr>
        <w:t>AGRICULTURAL USE</w:t>
      </w:r>
      <w:r>
        <w:rPr>
          <w:b/>
          <w:bCs/>
        </w:rPr>
        <w:t>:</w:t>
      </w:r>
      <w:r w:rsidRPr="00786442">
        <w:rPr>
          <w:b/>
          <w:bCs/>
        </w:rPr>
        <w:t xml:space="preserve"> REQUIREMENTS FOR REGISTRATION</w:t>
      </w:r>
      <w:r w:rsidRPr="00C67D40">
        <w:rPr>
          <w:b/>
        </w:rPr>
        <w:t xml:space="preserve"> </w:t>
      </w:r>
      <w:r>
        <w:rPr>
          <w:b/>
        </w:rPr>
        <w:t>(</w:t>
      </w:r>
      <w:r w:rsidRPr="00C67D40">
        <w:rPr>
          <w:b/>
        </w:rPr>
        <w:t xml:space="preserve">ANNEX </w:t>
      </w:r>
      <w:r>
        <w:rPr>
          <w:b/>
        </w:rPr>
        <w:t>TO THE RESOLUTION No. 314-2013 [</w:t>
      </w:r>
      <w:r w:rsidRPr="00C67D40">
        <w:rPr>
          <w:b/>
        </w:rPr>
        <w:t>COMIECO-EX</w:t>
      </w:r>
      <w:r>
        <w:rPr>
          <w:b/>
        </w:rPr>
        <w:t xml:space="preserve">]; </w:t>
      </w:r>
      <w:r w:rsidRPr="00C67D40">
        <w:rPr>
          <w:b/>
        </w:rPr>
        <w:t>RTCA 65.05.54:09</w:t>
      </w:r>
      <w:r>
        <w:rPr>
          <w:b/>
        </w:rPr>
        <w:t>)</w:t>
      </w:r>
    </w:p>
    <w:p w:rsidR="00121599" w:rsidRDefault="00121599" w:rsidP="00121599">
      <w:proofErr w:type="gramStart"/>
      <w:r w:rsidRPr="00C67D40">
        <w:t>To establish the requirements for granting the registration of fertilisers and soil conditioners for agricultural use.</w:t>
      </w:r>
      <w:proofErr w:type="gramEnd"/>
      <w:r w:rsidRPr="00C67D40">
        <w:t xml:space="preserve"> </w:t>
      </w:r>
      <w:r w:rsidRPr="0045545F">
        <w:t>Applies to the registration of fertili</w:t>
      </w:r>
      <w:r>
        <w:t>s</w:t>
      </w:r>
      <w:r w:rsidRPr="0045545F">
        <w:t xml:space="preserve">ers and </w:t>
      </w:r>
      <w:r>
        <w:t xml:space="preserve">soil conditioners </w:t>
      </w:r>
      <w:r w:rsidRPr="0045545F">
        <w:t>for agricultural use, which are manufactured, formulated, extracted from natural sources</w:t>
      </w:r>
      <w:r>
        <w:t>,</w:t>
      </w:r>
      <w:r w:rsidRPr="0045545F">
        <w:t xml:space="preserve"> packaged, </w:t>
      </w:r>
      <w:r>
        <w:t>repacked</w:t>
      </w:r>
      <w:r w:rsidRPr="0045545F">
        <w:t xml:space="preserve"> </w:t>
      </w:r>
      <w:r>
        <w:t>or</w:t>
      </w:r>
      <w:r w:rsidRPr="0045545F">
        <w:t xml:space="preserve"> </w:t>
      </w:r>
      <w:r w:rsidRPr="0045545F">
        <w:lastRenderedPageBreak/>
        <w:t xml:space="preserve">repackaged, imported, exported, distributed and </w:t>
      </w:r>
      <w:r>
        <w:t>sold</w:t>
      </w:r>
      <w:r w:rsidRPr="0045545F">
        <w:t xml:space="preserve"> in the States Parties of the Central </w:t>
      </w:r>
      <w:r>
        <w:t xml:space="preserve">American </w:t>
      </w:r>
      <w:r w:rsidRPr="0045545F">
        <w:t>Region.</w:t>
      </w:r>
    </w:p>
    <w:p w:rsidR="00121599" w:rsidRDefault="00121599" w:rsidP="00121599"/>
    <w:p w:rsidR="00C67D40" w:rsidRDefault="00121599" w:rsidP="00C67D40">
      <w:pPr>
        <w:rPr>
          <w:b/>
        </w:rPr>
      </w:pPr>
      <w:r w:rsidRPr="00004D7F">
        <w:rPr>
          <w:b/>
          <w:bCs/>
        </w:rPr>
        <w:t xml:space="preserve">FOOTWEAR AND PARTS </w:t>
      </w:r>
      <w:r>
        <w:rPr>
          <w:b/>
          <w:bCs/>
        </w:rPr>
        <w:t>(</w:t>
      </w:r>
      <w:r w:rsidRPr="00004D7F">
        <w:rPr>
          <w:b/>
          <w:bCs/>
        </w:rPr>
        <w:t>LABE</w:t>
      </w:r>
      <w:r>
        <w:rPr>
          <w:b/>
          <w:bCs/>
        </w:rPr>
        <w:t>L</w:t>
      </w:r>
      <w:r w:rsidRPr="00004D7F">
        <w:rPr>
          <w:b/>
          <w:bCs/>
        </w:rPr>
        <w:t>LING REQUIREMENTS</w:t>
      </w:r>
      <w:r>
        <w:rPr>
          <w:b/>
          <w:bCs/>
        </w:rPr>
        <w:t>): (</w:t>
      </w:r>
      <w:r w:rsidR="00C67D40" w:rsidRPr="00C67D40">
        <w:rPr>
          <w:b/>
        </w:rPr>
        <w:t>RTCA 61.01.03:12</w:t>
      </w:r>
      <w:r>
        <w:rPr>
          <w:b/>
        </w:rPr>
        <w:t>)</w:t>
      </w:r>
    </w:p>
    <w:p w:rsidR="00C67D40" w:rsidRDefault="00C67D40" w:rsidP="00C67D40">
      <w:pPr>
        <w:rPr>
          <w:lang w:val="en"/>
        </w:rPr>
      </w:pPr>
      <w:r w:rsidRPr="00C51C1C">
        <w:rPr>
          <w:lang w:val="en"/>
        </w:rPr>
        <w:t>To establish the requirements that the label</w:t>
      </w:r>
      <w:r>
        <w:rPr>
          <w:lang w:val="en"/>
        </w:rPr>
        <w:t>l</w:t>
      </w:r>
      <w:r w:rsidRPr="00C51C1C">
        <w:rPr>
          <w:lang w:val="en"/>
        </w:rPr>
        <w:t>ing of footwear and parts must meet when sold separately.</w:t>
      </w:r>
      <w:r w:rsidRPr="00C67D40">
        <w:rPr>
          <w:lang w:val="en"/>
        </w:rPr>
        <w:t xml:space="preserve"> </w:t>
      </w:r>
      <w:proofErr w:type="gramStart"/>
      <w:r w:rsidRPr="00902D35">
        <w:rPr>
          <w:lang w:val="en"/>
        </w:rPr>
        <w:t>Applies to the labe</w:t>
      </w:r>
      <w:r>
        <w:rPr>
          <w:lang w:val="en"/>
        </w:rPr>
        <w:t>l</w:t>
      </w:r>
      <w:r w:rsidRPr="00902D35">
        <w:rPr>
          <w:lang w:val="en"/>
        </w:rPr>
        <w:t>ling of new footwear and parts thereof</w:t>
      </w:r>
      <w:r>
        <w:rPr>
          <w:rStyle w:val="FootnoteReference"/>
          <w:lang w:val="en"/>
        </w:rPr>
        <w:footnoteReference w:id="1"/>
      </w:r>
      <w:r w:rsidRPr="00902D35">
        <w:rPr>
          <w:lang w:val="en"/>
        </w:rPr>
        <w:t xml:space="preserve">, when made available to the final consumer within the territory of </w:t>
      </w:r>
      <w:r>
        <w:rPr>
          <w:lang w:val="en"/>
        </w:rPr>
        <w:t xml:space="preserve">the </w:t>
      </w:r>
      <w:r w:rsidRPr="00902D35">
        <w:rPr>
          <w:lang w:val="en"/>
        </w:rPr>
        <w:t>States Parties.</w:t>
      </w:r>
      <w:proofErr w:type="gramEnd"/>
    </w:p>
    <w:p w:rsidR="00C67D40" w:rsidRDefault="00C67D40" w:rsidP="00C67D40">
      <w:r w:rsidRPr="001B7286">
        <w:t xml:space="preserve">The following type of footwear </w:t>
      </w:r>
      <w:r>
        <w:t xml:space="preserve">is </w:t>
      </w:r>
      <w:r w:rsidRPr="001B7286">
        <w:t>not considered for the purposes of this technical regulation:</w:t>
      </w:r>
    </w:p>
    <w:p w:rsidR="00C67D40" w:rsidRDefault="00C67D40" w:rsidP="00C67D40">
      <w:pPr>
        <w:pStyle w:val="ListParagraph"/>
        <w:numPr>
          <w:ilvl w:val="0"/>
          <w:numId w:val="1"/>
        </w:numPr>
      </w:pPr>
      <w:r w:rsidRPr="00897653">
        <w:t>The footwear which has characteristics of a toy;</w:t>
      </w:r>
    </w:p>
    <w:p w:rsidR="00C67D40" w:rsidRDefault="00C67D40" w:rsidP="00C67D40">
      <w:pPr>
        <w:pStyle w:val="ListParagraph"/>
        <w:numPr>
          <w:ilvl w:val="0"/>
          <w:numId w:val="1"/>
        </w:numPr>
      </w:pPr>
      <w:r w:rsidRPr="00897653">
        <w:t>Footwear designed to provide security and protection against risks arising from the reali</w:t>
      </w:r>
      <w:r>
        <w:t>sation of a specific activity; and</w:t>
      </w:r>
    </w:p>
    <w:p w:rsidR="00C67D40" w:rsidRDefault="00C67D40" w:rsidP="00C67D40">
      <w:pPr>
        <w:pStyle w:val="ListParagraph"/>
        <w:numPr>
          <w:ilvl w:val="0"/>
          <w:numId w:val="1"/>
        </w:numPr>
      </w:pPr>
      <w:r w:rsidRPr="00897653">
        <w:t xml:space="preserve">The </w:t>
      </w:r>
      <w:r>
        <w:t>booties</w:t>
      </w:r>
      <w:r w:rsidRPr="00897653">
        <w:t xml:space="preserve"> of light disposable materials or </w:t>
      </w:r>
      <w:r>
        <w:t xml:space="preserve">of </w:t>
      </w:r>
      <w:r w:rsidRPr="00897653">
        <w:t xml:space="preserve">little </w:t>
      </w:r>
      <w:r>
        <w:t>resistance</w:t>
      </w:r>
      <w:r w:rsidRPr="00897653">
        <w:t>, as textile, paper or synthetic, without soles applied.</w:t>
      </w:r>
    </w:p>
    <w:p w:rsidR="00C67D40" w:rsidRDefault="00C67D40" w:rsidP="00C67D40">
      <w:r w:rsidRPr="00D270F1">
        <w:t xml:space="preserve">Note: The labelling of footwear used will be </w:t>
      </w:r>
      <w:r>
        <w:t>dependent</w:t>
      </w:r>
      <w:r w:rsidRPr="00D270F1">
        <w:t xml:space="preserve"> on the national legislation of each State party.</w:t>
      </w:r>
    </w:p>
    <w:p w:rsidR="00C67D40" w:rsidRDefault="00C67D40" w:rsidP="00C67D40"/>
    <w:p w:rsidR="00121599" w:rsidRPr="00121599" w:rsidRDefault="00121599" w:rsidP="00121599">
      <w:pPr>
        <w:rPr>
          <w:b/>
          <w:bCs/>
        </w:rPr>
      </w:pPr>
      <w:r w:rsidRPr="00121599">
        <w:rPr>
          <w:b/>
          <w:bCs/>
        </w:rPr>
        <w:t>PHARMACEUTICAL PRODUCTS</w:t>
      </w:r>
      <w:r>
        <w:rPr>
          <w:b/>
          <w:bCs/>
        </w:rPr>
        <w:t xml:space="preserve"> (</w:t>
      </w:r>
      <w:r w:rsidRPr="00121599">
        <w:rPr>
          <w:b/>
          <w:bCs/>
        </w:rPr>
        <w:t>NATURAL MEDICINAL PRODUCTS FOR HUMAN USE</w:t>
      </w:r>
      <w:r>
        <w:rPr>
          <w:b/>
          <w:bCs/>
        </w:rPr>
        <w:t xml:space="preserve">): </w:t>
      </w:r>
      <w:r w:rsidRPr="00121599">
        <w:rPr>
          <w:b/>
          <w:bCs/>
        </w:rPr>
        <w:t>REGISTRATION REQUIREMENTS</w:t>
      </w:r>
      <w:r>
        <w:rPr>
          <w:b/>
          <w:bCs/>
        </w:rPr>
        <w:t xml:space="preserve"> (</w:t>
      </w:r>
      <w:r w:rsidRPr="00121599">
        <w:rPr>
          <w:b/>
          <w:bCs/>
        </w:rPr>
        <w:t>ANNEX OF RESOLUTION No. 303-2013 (COMIECO-EX)</w:t>
      </w:r>
      <w:r>
        <w:rPr>
          <w:b/>
          <w:bCs/>
        </w:rPr>
        <w:t xml:space="preserve">; </w:t>
      </w:r>
      <w:r w:rsidRPr="00121599">
        <w:rPr>
          <w:b/>
          <w:bCs/>
        </w:rPr>
        <w:t>RTCA 11.03.64:11</w:t>
      </w:r>
      <w:r>
        <w:rPr>
          <w:b/>
          <w:bCs/>
        </w:rPr>
        <w:t>)</w:t>
      </w:r>
    </w:p>
    <w:p w:rsidR="00121599" w:rsidRDefault="00121599" w:rsidP="00121599">
      <w:r>
        <w:t>T</w:t>
      </w:r>
      <w:r w:rsidRPr="0070460A">
        <w:t xml:space="preserve">o establish the conditions and requirements under which the </w:t>
      </w:r>
      <w:r>
        <w:t xml:space="preserve">health </w:t>
      </w:r>
      <w:r w:rsidRPr="0070460A">
        <w:t xml:space="preserve">registration of natural medicinal products for human use for marketing </w:t>
      </w:r>
      <w:r>
        <w:t xml:space="preserve">is </w:t>
      </w:r>
      <w:r w:rsidRPr="0070460A">
        <w:t>granted.</w:t>
      </w:r>
      <w:r w:rsidRPr="00121599">
        <w:t xml:space="preserve"> </w:t>
      </w:r>
      <w:r w:rsidRPr="003123D4">
        <w:t xml:space="preserve">It applies to natural medicinal products for human use </w:t>
      </w:r>
      <w:r>
        <w:t xml:space="preserve">that is </w:t>
      </w:r>
      <w:r w:rsidRPr="003123D4">
        <w:t>manufactured or imported, natural or legal persons for marketing in the Member States of the Central American region.</w:t>
      </w:r>
    </w:p>
    <w:p w:rsidR="00121599" w:rsidRDefault="00121599" w:rsidP="00121599">
      <w:r>
        <w:t>This e</w:t>
      </w:r>
      <w:r w:rsidRPr="001D0F23">
        <w:t xml:space="preserve">xcludes </w:t>
      </w:r>
      <w:r>
        <w:t xml:space="preserve">those products </w:t>
      </w:r>
      <w:r w:rsidRPr="001D0F23">
        <w:t xml:space="preserve">that are </w:t>
      </w:r>
      <w:r w:rsidRPr="00C31C6E">
        <w:t xml:space="preserve">added to active substances </w:t>
      </w:r>
      <w:r>
        <w:t xml:space="preserve">of </w:t>
      </w:r>
      <w:r w:rsidRPr="00C31C6E">
        <w:t xml:space="preserve">chemical </w:t>
      </w:r>
      <w:r>
        <w:t xml:space="preserve">synthesis </w:t>
      </w:r>
      <w:r w:rsidRPr="001D0F23">
        <w:t xml:space="preserve">or isolated from natural </w:t>
      </w:r>
      <w:r>
        <w:t xml:space="preserve">material </w:t>
      </w:r>
      <w:r w:rsidRPr="001D0F23">
        <w:t>responsible for pharmacological activity, as well as dosage forms that are applie</w:t>
      </w:r>
      <w:r>
        <w:t>d via parenteral and ophthalmic administration.</w:t>
      </w:r>
    </w:p>
    <w:p w:rsidR="00121599" w:rsidRDefault="00121599" w:rsidP="00121599"/>
    <w:p w:rsidR="00A443F3" w:rsidRDefault="00A443F3" w:rsidP="00A443F3">
      <w:pPr>
        <w:rPr>
          <w:b/>
          <w:bCs/>
        </w:rPr>
      </w:pPr>
      <w:r w:rsidRPr="00C12A73">
        <w:rPr>
          <w:b/>
          <w:bCs/>
        </w:rPr>
        <w:t xml:space="preserve">PHARMACEUTICALS </w:t>
      </w:r>
      <w:r>
        <w:rPr>
          <w:b/>
          <w:bCs/>
        </w:rPr>
        <w:t>(</w:t>
      </w:r>
      <w:r w:rsidRPr="00C12A73">
        <w:rPr>
          <w:b/>
          <w:bCs/>
        </w:rPr>
        <w:t>DRUGS FOR HUMAN USE</w:t>
      </w:r>
      <w:r>
        <w:rPr>
          <w:b/>
          <w:bCs/>
        </w:rPr>
        <w:t>):</w:t>
      </w:r>
      <w:r w:rsidRPr="00C12A73">
        <w:rPr>
          <w:b/>
          <w:bCs/>
        </w:rPr>
        <w:t xml:space="preserve"> H</w:t>
      </w:r>
      <w:r>
        <w:rPr>
          <w:b/>
          <w:bCs/>
        </w:rPr>
        <w:t>EALTH REGISTRATION REQUIREMENTS (</w:t>
      </w:r>
      <w:r w:rsidRPr="00A443F3">
        <w:rPr>
          <w:b/>
          <w:bCs/>
        </w:rPr>
        <w:t>ANNEX 1 OF RESOLUTION NO. 333-2013 (COMIECO-LXVI)</w:t>
      </w:r>
      <w:r>
        <w:rPr>
          <w:b/>
          <w:bCs/>
        </w:rPr>
        <w:t xml:space="preserve">; </w:t>
      </w:r>
      <w:r w:rsidRPr="00A443F3">
        <w:rPr>
          <w:b/>
          <w:bCs/>
        </w:rPr>
        <w:t>RTCA 11.03.59:11</w:t>
      </w:r>
      <w:r>
        <w:rPr>
          <w:b/>
          <w:bCs/>
        </w:rPr>
        <w:t>)</w:t>
      </w:r>
    </w:p>
    <w:p w:rsidR="00D823F5" w:rsidRDefault="00D823F5" w:rsidP="00D823F5">
      <w:r w:rsidRPr="00D823F5">
        <w:t xml:space="preserve">To establish conditions and requirements under which the registration of medicaments for human use will be granted. </w:t>
      </w:r>
      <w:proofErr w:type="gramStart"/>
      <w:r w:rsidRPr="00172B93">
        <w:t xml:space="preserve">Applies to drugs for human use that </w:t>
      </w:r>
      <w:r>
        <w:t xml:space="preserve">are </w:t>
      </w:r>
      <w:r w:rsidRPr="00172B93">
        <w:t>manufacture</w:t>
      </w:r>
      <w:r>
        <w:t>d</w:t>
      </w:r>
      <w:r w:rsidRPr="00172B93">
        <w:t xml:space="preserve"> or import</w:t>
      </w:r>
      <w:r>
        <w:t>ed</w:t>
      </w:r>
      <w:r w:rsidRPr="00172B93">
        <w:t xml:space="preserve"> </w:t>
      </w:r>
      <w:r>
        <w:t xml:space="preserve">by </w:t>
      </w:r>
      <w:r w:rsidRPr="00172B93">
        <w:t xml:space="preserve">individuals or entities for marketing in the Central </w:t>
      </w:r>
      <w:r>
        <w:t xml:space="preserve">American </w:t>
      </w:r>
      <w:r w:rsidRPr="00172B93">
        <w:t>Territory.</w:t>
      </w:r>
      <w:proofErr w:type="gramEnd"/>
      <w:r w:rsidRPr="00172B93">
        <w:t xml:space="preserve"> </w:t>
      </w:r>
      <w:r>
        <w:t>Compounded preparations are e</w:t>
      </w:r>
      <w:r w:rsidRPr="00172B93">
        <w:t>xcluded from this Regulation</w:t>
      </w:r>
      <w:r>
        <w:t>.</w:t>
      </w:r>
    </w:p>
    <w:p w:rsidR="00D823F5" w:rsidRDefault="00D823F5" w:rsidP="00D823F5">
      <w:r>
        <w:t>NOTES:</w:t>
      </w:r>
    </w:p>
    <w:p w:rsidR="00D823F5" w:rsidRDefault="00D823F5" w:rsidP="00D823F5">
      <w:pPr>
        <w:pStyle w:val="ListParagraph"/>
        <w:numPr>
          <w:ilvl w:val="0"/>
          <w:numId w:val="2"/>
        </w:numPr>
      </w:pPr>
      <w:r w:rsidRPr="00156663">
        <w:lastRenderedPageBreak/>
        <w:t>Biological and biotechnological drugs shall be registered in accordance with the national legislation of each State Party.</w:t>
      </w:r>
    </w:p>
    <w:p w:rsidR="00D823F5" w:rsidRDefault="00D823F5" w:rsidP="00D823F5">
      <w:pPr>
        <w:pStyle w:val="ListParagraph"/>
        <w:numPr>
          <w:ilvl w:val="0"/>
          <w:numId w:val="2"/>
        </w:numPr>
      </w:pPr>
      <w:r>
        <w:t xml:space="preserve">If </w:t>
      </w:r>
      <w:r w:rsidRPr="00156663">
        <w:t>a State party does not have a national law for the registration of biological and biotechnological medicinal products</w:t>
      </w:r>
      <w:r>
        <w:t>,</w:t>
      </w:r>
      <w:r w:rsidRPr="00156663">
        <w:t xml:space="preserve"> these rules</w:t>
      </w:r>
      <w:r>
        <w:t xml:space="preserve"> will be applied </w:t>
      </w:r>
      <w:r w:rsidRPr="00156663">
        <w:t xml:space="preserve">to </w:t>
      </w:r>
      <w:r>
        <w:t xml:space="preserve">those </w:t>
      </w:r>
      <w:r w:rsidRPr="00156663">
        <w:t>products.</w:t>
      </w:r>
    </w:p>
    <w:p w:rsidR="00A443F3" w:rsidRDefault="00D823F5" w:rsidP="00D823F5">
      <w:r w:rsidRPr="00156663">
        <w:t>In the case of nutritional or dietary supplements</w:t>
      </w:r>
      <w:r>
        <w:t>,</w:t>
      </w:r>
      <w:r w:rsidRPr="00156663">
        <w:t xml:space="preserve"> as there </w:t>
      </w:r>
      <w:r>
        <w:t xml:space="preserve">are </w:t>
      </w:r>
      <w:r w:rsidRPr="00156663">
        <w:t>no regionally harmoni</w:t>
      </w:r>
      <w:r>
        <w:t>s</w:t>
      </w:r>
      <w:r w:rsidRPr="00156663">
        <w:t>ed rules, the laws of each state party shall apply.</w:t>
      </w:r>
    </w:p>
    <w:p w:rsidR="00D823F5" w:rsidRDefault="00D823F5" w:rsidP="00D823F5"/>
    <w:p w:rsidR="00D823F5" w:rsidRDefault="00D823F5" w:rsidP="00D823F5">
      <w:pPr>
        <w:rPr>
          <w:b/>
        </w:rPr>
      </w:pPr>
      <w:r w:rsidRPr="00D823F5">
        <w:rPr>
          <w:b/>
        </w:rPr>
        <w:t>PHARMACEUTICAL PRODUCTS</w:t>
      </w:r>
      <w:r>
        <w:rPr>
          <w:b/>
        </w:rPr>
        <w:t>:</w:t>
      </w:r>
      <w:r w:rsidRPr="00D823F5">
        <w:rPr>
          <w:b/>
        </w:rPr>
        <w:t xml:space="preserve"> LABELLING O</w:t>
      </w:r>
      <w:r>
        <w:rPr>
          <w:b/>
        </w:rPr>
        <w:t>F PHARMACEUTICALS FOR HUMAN USE (</w:t>
      </w:r>
      <w:r w:rsidRPr="00D823F5">
        <w:rPr>
          <w:b/>
        </w:rPr>
        <w:t>RTCA 11.01.02:04</w:t>
      </w:r>
      <w:r>
        <w:rPr>
          <w:b/>
        </w:rPr>
        <w:t>)</w:t>
      </w:r>
    </w:p>
    <w:p w:rsidR="00D823F5" w:rsidRPr="00D823F5" w:rsidRDefault="00D823F5" w:rsidP="00D823F5">
      <w:r w:rsidRPr="00430B56">
        <w:t>The purpose of this technical regulation is to establish minimum requirements that the labelling of pharmaceutical products for human use</w:t>
      </w:r>
      <w:r>
        <w:t xml:space="preserve"> </w:t>
      </w:r>
      <w:r w:rsidRPr="00430B56">
        <w:t>must meet, both</w:t>
      </w:r>
      <w:r>
        <w:t xml:space="preserve"> for </w:t>
      </w:r>
      <w:r w:rsidRPr="00430B56">
        <w:t xml:space="preserve">products of the territory of Central America and </w:t>
      </w:r>
      <w:r>
        <w:t>abroad</w:t>
      </w:r>
      <w:r w:rsidRPr="00430B56">
        <w:t>.</w:t>
      </w:r>
      <w:r w:rsidRPr="00D823F5">
        <w:t xml:space="preserve"> </w:t>
      </w:r>
      <w:r w:rsidRPr="00E16945">
        <w:t>This technical regulation applies to the labelling of all pharmaceutical products for human use, regardless of their mode of sale, shipment or delivery.</w:t>
      </w:r>
    </w:p>
    <w:p w:rsidR="00A443F3" w:rsidRDefault="00A443F3" w:rsidP="00A443F3">
      <w:pPr>
        <w:rPr>
          <w:b/>
        </w:rPr>
      </w:pPr>
    </w:p>
    <w:p w:rsidR="00A443F3" w:rsidRDefault="00A443F3" w:rsidP="00A443F3">
      <w:pPr>
        <w:rPr>
          <w:b/>
        </w:rPr>
      </w:pPr>
      <w:r w:rsidRPr="0076262C">
        <w:rPr>
          <w:b/>
        </w:rPr>
        <w:t>MUTUAL RECOGNITION OF HEALTH REGISTRATION FOR PHARMACEUTICALS FOR HUMAN USE</w:t>
      </w:r>
      <w:r w:rsidRPr="00C67D40">
        <w:rPr>
          <w:b/>
        </w:rPr>
        <w:t xml:space="preserve"> </w:t>
      </w:r>
      <w:r>
        <w:rPr>
          <w:b/>
        </w:rPr>
        <w:t>(</w:t>
      </w:r>
      <w:r w:rsidRPr="00C67D40">
        <w:rPr>
          <w:b/>
        </w:rPr>
        <w:t>ANNEX 2 OF RESOLU</w:t>
      </w:r>
      <w:r>
        <w:rPr>
          <w:b/>
        </w:rPr>
        <w:t>TION No. 333-2013 [COMIECO-LXVI])</w:t>
      </w:r>
    </w:p>
    <w:p w:rsidR="00A443F3" w:rsidRDefault="00A443F3" w:rsidP="00A443F3">
      <w:r w:rsidRPr="00C67D40">
        <w:t>The Recognition applies to the health registration of pharmaceuticals originating in the countries.</w:t>
      </w:r>
    </w:p>
    <w:p w:rsidR="00A443F3" w:rsidRDefault="00A443F3" w:rsidP="00A443F3"/>
    <w:p w:rsidR="00121599" w:rsidRPr="00C67D40" w:rsidRDefault="00121599" w:rsidP="00121599"/>
    <w:sectPr w:rsidR="00121599" w:rsidRPr="00C67D40">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412A" w:rsidRDefault="0006412A" w:rsidP="00C67D40">
      <w:pPr>
        <w:spacing w:after="0" w:line="240" w:lineRule="auto"/>
      </w:pPr>
      <w:r>
        <w:separator/>
      </w:r>
    </w:p>
  </w:endnote>
  <w:endnote w:type="continuationSeparator" w:id="0">
    <w:p w:rsidR="0006412A" w:rsidRDefault="0006412A" w:rsidP="00C67D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412A" w:rsidRDefault="0006412A" w:rsidP="00C67D40">
      <w:pPr>
        <w:spacing w:after="0" w:line="240" w:lineRule="auto"/>
      </w:pPr>
      <w:r>
        <w:separator/>
      </w:r>
    </w:p>
  </w:footnote>
  <w:footnote w:type="continuationSeparator" w:id="0">
    <w:p w:rsidR="0006412A" w:rsidRDefault="0006412A" w:rsidP="00C67D40">
      <w:pPr>
        <w:spacing w:after="0" w:line="240" w:lineRule="auto"/>
      </w:pPr>
      <w:r>
        <w:continuationSeparator/>
      </w:r>
    </w:p>
  </w:footnote>
  <w:footnote w:id="1">
    <w:p w:rsidR="00C67D40" w:rsidRDefault="00C67D40" w:rsidP="00C67D40">
      <w:pPr>
        <w:pStyle w:val="FootnoteText"/>
      </w:pPr>
      <w:r>
        <w:rPr>
          <w:rStyle w:val="FootnoteReference"/>
        </w:rPr>
        <w:footnoteRef/>
      </w:r>
      <w:r>
        <w:t xml:space="preserve"> The </w:t>
      </w:r>
      <w:r w:rsidRPr="00BC3370">
        <w:t xml:space="preserve">main parts are: </w:t>
      </w:r>
      <w:proofErr w:type="spellStart"/>
      <w:r w:rsidRPr="00BC3370">
        <w:t>heel</w:t>
      </w:r>
      <w:r>
        <w:t>cap</w:t>
      </w:r>
      <w:proofErr w:type="spellEnd"/>
      <w:r w:rsidRPr="00BC3370">
        <w:t xml:space="preserve">, lining, </w:t>
      </w:r>
      <w:r>
        <w:t>vamp</w:t>
      </w:r>
      <w:r w:rsidRPr="00BC3370">
        <w:t xml:space="preserve">, heel, </w:t>
      </w:r>
      <w:r>
        <w:t>top piece</w:t>
      </w:r>
      <w:r w:rsidRPr="00BC3370">
        <w:t xml:space="preserve">, </w:t>
      </w:r>
      <w:r>
        <w:t>insole</w:t>
      </w:r>
      <w:r w:rsidRPr="00BC3370">
        <w:t xml:space="preserve">, </w:t>
      </w:r>
      <w:r>
        <w:t>bottom filling</w:t>
      </w:r>
      <w:r w:rsidRPr="00BC3370">
        <w:t xml:space="preserve"> and sole, among others.</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BB4370"/>
    <w:multiLevelType w:val="hybridMultilevel"/>
    <w:tmpl w:val="86B67A72"/>
    <w:lvl w:ilvl="0" w:tplc="2C090001">
      <w:start w:val="1"/>
      <w:numFmt w:val="bullet"/>
      <w:lvlText w:val=""/>
      <w:lvlJc w:val="left"/>
      <w:pPr>
        <w:ind w:left="360" w:hanging="360"/>
      </w:pPr>
      <w:rPr>
        <w:rFonts w:ascii="Symbol" w:hAnsi="Symbol" w:hint="default"/>
      </w:rPr>
    </w:lvl>
    <w:lvl w:ilvl="1" w:tplc="2C090003" w:tentative="1">
      <w:start w:val="1"/>
      <w:numFmt w:val="bullet"/>
      <w:lvlText w:val="o"/>
      <w:lvlJc w:val="left"/>
      <w:pPr>
        <w:ind w:left="1080" w:hanging="360"/>
      </w:pPr>
      <w:rPr>
        <w:rFonts w:ascii="Courier New" w:hAnsi="Courier New" w:cs="Courier New" w:hint="default"/>
      </w:rPr>
    </w:lvl>
    <w:lvl w:ilvl="2" w:tplc="2C090005" w:tentative="1">
      <w:start w:val="1"/>
      <w:numFmt w:val="bullet"/>
      <w:lvlText w:val=""/>
      <w:lvlJc w:val="left"/>
      <w:pPr>
        <w:ind w:left="1800" w:hanging="360"/>
      </w:pPr>
      <w:rPr>
        <w:rFonts w:ascii="Wingdings" w:hAnsi="Wingdings" w:hint="default"/>
      </w:rPr>
    </w:lvl>
    <w:lvl w:ilvl="3" w:tplc="2C090001" w:tentative="1">
      <w:start w:val="1"/>
      <w:numFmt w:val="bullet"/>
      <w:lvlText w:val=""/>
      <w:lvlJc w:val="left"/>
      <w:pPr>
        <w:ind w:left="2520" w:hanging="360"/>
      </w:pPr>
      <w:rPr>
        <w:rFonts w:ascii="Symbol" w:hAnsi="Symbol" w:hint="default"/>
      </w:rPr>
    </w:lvl>
    <w:lvl w:ilvl="4" w:tplc="2C090003" w:tentative="1">
      <w:start w:val="1"/>
      <w:numFmt w:val="bullet"/>
      <w:lvlText w:val="o"/>
      <w:lvlJc w:val="left"/>
      <w:pPr>
        <w:ind w:left="3240" w:hanging="360"/>
      </w:pPr>
      <w:rPr>
        <w:rFonts w:ascii="Courier New" w:hAnsi="Courier New" w:cs="Courier New" w:hint="default"/>
      </w:rPr>
    </w:lvl>
    <w:lvl w:ilvl="5" w:tplc="2C090005" w:tentative="1">
      <w:start w:val="1"/>
      <w:numFmt w:val="bullet"/>
      <w:lvlText w:val=""/>
      <w:lvlJc w:val="left"/>
      <w:pPr>
        <w:ind w:left="3960" w:hanging="360"/>
      </w:pPr>
      <w:rPr>
        <w:rFonts w:ascii="Wingdings" w:hAnsi="Wingdings" w:hint="default"/>
      </w:rPr>
    </w:lvl>
    <w:lvl w:ilvl="6" w:tplc="2C090001" w:tentative="1">
      <w:start w:val="1"/>
      <w:numFmt w:val="bullet"/>
      <w:lvlText w:val=""/>
      <w:lvlJc w:val="left"/>
      <w:pPr>
        <w:ind w:left="4680" w:hanging="360"/>
      </w:pPr>
      <w:rPr>
        <w:rFonts w:ascii="Symbol" w:hAnsi="Symbol" w:hint="default"/>
      </w:rPr>
    </w:lvl>
    <w:lvl w:ilvl="7" w:tplc="2C090003" w:tentative="1">
      <w:start w:val="1"/>
      <w:numFmt w:val="bullet"/>
      <w:lvlText w:val="o"/>
      <w:lvlJc w:val="left"/>
      <w:pPr>
        <w:ind w:left="5400" w:hanging="360"/>
      </w:pPr>
      <w:rPr>
        <w:rFonts w:ascii="Courier New" w:hAnsi="Courier New" w:cs="Courier New" w:hint="default"/>
      </w:rPr>
    </w:lvl>
    <w:lvl w:ilvl="8" w:tplc="2C090005" w:tentative="1">
      <w:start w:val="1"/>
      <w:numFmt w:val="bullet"/>
      <w:lvlText w:val=""/>
      <w:lvlJc w:val="left"/>
      <w:pPr>
        <w:ind w:left="6120" w:hanging="360"/>
      </w:pPr>
      <w:rPr>
        <w:rFonts w:ascii="Wingdings" w:hAnsi="Wingdings" w:hint="default"/>
      </w:rPr>
    </w:lvl>
  </w:abstractNum>
  <w:abstractNum w:abstractNumId="1">
    <w:nsid w:val="1A5567BD"/>
    <w:multiLevelType w:val="hybridMultilevel"/>
    <w:tmpl w:val="1AD22D8E"/>
    <w:lvl w:ilvl="0" w:tplc="2C090017">
      <w:start w:val="1"/>
      <w:numFmt w:val="lowerLetter"/>
      <w:lvlText w:val="%1)"/>
      <w:lvlJc w:val="left"/>
      <w:pPr>
        <w:ind w:left="360" w:hanging="360"/>
      </w:pPr>
    </w:lvl>
    <w:lvl w:ilvl="1" w:tplc="2C090019" w:tentative="1">
      <w:start w:val="1"/>
      <w:numFmt w:val="lowerLetter"/>
      <w:lvlText w:val="%2."/>
      <w:lvlJc w:val="left"/>
      <w:pPr>
        <w:ind w:left="1080" w:hanging="360"/>
      </w:pPr>
    </w:lvl>
    <w:lvl w:ilvl="2" w:tplc="2C09001B" w:tentative="1">
      <w:start w:val="1"/>
      <w:numFmt w:val="lowerRoman"/>
      <w:lvlText w:val="%3."/>
      <w:lvlJc w:val="right"/>
      <w:pPr>
        <w:ind w:left="1800" w:hanging="180"/>
      </w:pPr>
    </w:lvl>
    <w:lvl w:ilvl="3" w:tplc="2C09000F" w:tentative="1">
      <w:start w:val="1"/>
      <w:numFmt w:val="decimal"/>
      <w:lvlText w:val="%4."/>
      <w:lvlJc w:val="left"/>
      <w:pPr>
        <w:ind w:left="2520" w:hanging="360"/>
      </w:pPr>
    </w:lvl>
    <w:lvl w:ilvl="4" w:tplc="2C090019" w:tentative="1">
      <w:start w:val="1"/>
      <w:numFmt w:val="lowerLetter"/>
      <w:lvlText w:val="%5."/>
      <w:lvlJc w:val="left"/>
      <w:pPr>
        <w:ind w:left="3240" w:hanging="360"/>
      </w:pPr>
    </w:lvl>
    <w:lvl w:ilvl="5" w:tplc="2C09001B" w:tentative="1">
      <w:start w:val="1"/>
      <w:numFmt w:val="lowerRoman"/>
      <w:lvlText w:val="%6."/>
      <w:lvlJc w:val="right"/>
      <w:pPr>
        <w:ind w:left="3960" w:hanging="180"/>
      </w:pPr>
    </w:lvl>
    <w:lvl w:ilvl="6" w:tplc="2C09000F" w:tentative="1">
      <w:start w:val="1"/>
      <w:numFmt w:val="decimal"/>
      <w:lvlText w:val="%7."/>
      <w:lvlJc w:val="left"/>
      <w:pPr>
        <w:ind w:left="4680" w:hanging="360"/>
      </w:pPr>
    </w:lvl>
    <w:lvl w:ilvl="7" w:tplc="2C090019" w:tentative="1">
      <w:start w:val="1"/>
      <w:numFmt w:val="lowerLetter"/>
      <w:lvlText w:val="%8."/>
      <w:lvlJc w:val="left"/>
      <w:pPr>
        <w:ind w:left="5400" w:hanging="360"/>
      </w:pPr>
    </w:lvl>
    <w:lvl w:ilvl="8" w:tplc="2C09001B" w:tentative="1">
      <w:start w:val="1"/>
      <w:numFmt w:val="lowerRoman"/>
      <w:lvlText w:val="%9."/>
      <w:lvlJc w:val="right"/>
      <w:pPr>
        <w:ind w:left="6120" w:hanging="180"/>
      </w:pPr>
    </w:lvl>
  </w:abstractNum>
  <w:abstractNum w:abstractNumId="2">
    <w:nsid w:val="6EFD1F8C"/>
    <w:multiLevelType w:val="hybridMultilevel"/>
    <w:tmpl w:val="0554D25E"/>
    <w:lvl w:ilvl="0" w:tplc="E63AD9FE">
      <w:start w:val="1"/>
      <w:numFmt w:val="decimal"/>
      <w:lvlText w:val="%1."/>
      <w:lvlJc w:val="left"/>
      <w:pPr>
        <w:ind w:left="360" w:hanging="360"/>
      </w:pPr>
      <w:rPr>
        <w:b/>
        <w:bCs/>
      </w:rPr>
    </w:lvl>
    <w:lvl w:ilvl="1" w:tplc="2C090019">
      <w:start w:val="1"/>
      <w:numFmt w:val="lowerLetter"/>
      <w:lvlText w:val="%2."/>
      <w:lvlJc w:val="left"/>
      <w:pPr>
        <w:ind w:left="1080" w:hanging="360"/>
      </w:pPr>
    </w:lvl>
    <w:lvl w:ilvl="2" w:tplc="2C09001B" w:tentative="1">
      <w:start w:val="1"/>
      <w:numFmt w:val="lowerRoman"/>
      <w:lvlText w:val="%3."/>
      <w:lvlJc w:val="right"/>
      <w:pPr>
        <w:ind w:left="1800" w:hanging="180"/>
      </w:pPr>
    </w:lvl>
    <w:lvl w:ilvl="3" w:tplc="2C09000F" w:tentative="1">
      <w:start w:val="1"/>
      <w:numFmt w:val="decimal"/>
      <w:lvlText w:val="%4."/>
      <w:lvlJc w:val="left"/>
      <w:pPr>
        <w:ind w:left="2520" w:hanging="360"/>
      </w:pPr>
    </w:lvl>
    <w:lvl w:ilvl="4" w:tplc="2C090019" w:tentative="1">
      <w:start w:val="1"/>
      <w:numFmt w:val="lowerLetter"/>
      <w:lvlText w:val="%5."/>
      <w:lvlJc w:val="left"/>
      <w:pPr>
        <w:ind w:left="3240" w:hanging="360"/>
      </w:pPr>
    </w:lvl>
    <w:lvl w:ilvl="5" w:tplc="2C09001B" w:tentative="1">
      <w:start w:val="1"/>
      <w:numFmt w:val="lowerRoman"/>
      <w:lvlText w:val="%6."/>
      <w:lvlJc w:val="right"/>
      <w:pPr>
        <w:ind w:left="3960" w:hanging="180"/>
      </w:pPr>
    </w:lvl>
    <w:lvl w:ilvl="6" w:tplc="2C09000F" w:tentative="1">
      <w:start w:val="1"/>
      <w:numFmt w:val="decimal"/>
      <w:lvlText w:val="%7."/>
      <w:lvlJc w:val="left"/>
      <w:pPr>
        <w:ind w:left="4680" w:hanging="360"/>
      </w:pPr>
    </w:lvl>
    <w:lvl w:ilvl="7" w:tplc="2C090019" w:tentative="1">
      <w:start w:val="1"/>
      <w:numFmt w:val="lowerLetter"/>
      <w:lvlText w:val="%8."/>
      <w:lvlJc w:val="left"/>
      <w:pPr>
        <w:ind w:left="5400" w:hanging="360"/>
      </w:pPr>
    </w:lvl>
    <w:lvl w:ilvl="8" w:tplc="2C09001B" w:tentative="1">
      <w:start w:val="1"/>
      <w:numFmt w:val="lowerRoman"/>
      <w:lvlText w:val="%9."/>
      <w:lvlJc w:val="right"/>
      <w:pPr>
        <w:ind w:left="612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D40"/>
    <w:rsid w:val="00007F17"/>
    <w:rsid w:val="00015007"/>
    <w:rsid w:val="000416B9"/>
    <w:rsid w:val="00043762"/>
    <w:rsid w:val="00060785"/>
    <w:rsid w:val="00063A37"/>
    <w:rsid w:val="00063D8A"/>
    <w:rsid w:val="0006412A"/>
    <w:rsid w:val="000719ED"/>
    <w:rsid w:val="0007288A"/>
    <w:rsid w:val="000757EF"/>
    <w:rsid w:val="0009686D"/>
    <w:rsid w:val="000A2619"/>
    <w:rsid w:val="000A2791"/>
    <w:rsid w:val="000A4FAD"/>
    <w:rsid w:val="000A70F9"/>
    <w:rsid w:val="000B2AD3"/>
    <w:rsid w:val="000B490E"/>
    <w:rsid w:val="000B793B"/>
    <w:rsid w:val="000B7984"/>
    <w:rsid w:val="000C649D"/>
    <w:rsid w:val="000D672A"/>
    <w:rsid w:val="000E3022"/>
    <w:rsid w:val="000E42AD"/>
    <w:rsid w:val="000E4766"/>
    <w:rsid w:val="000E694E"/>
    <w:rsid w:val="000F1E4F"/>
    <w:rsid w:val="00120445"/>
    <w:rsid w:val="00121599"/>
    <w:rsid w:val="00121BF2"/>
    <w:rsid w:val="001312CA"/>
    <w:rsid w:val="00142981"/>
    <w:rsid w:val="00162F65"/>
    <w:rsid w:val="00181447"/>
    <w:rsid w:val="00183083"/>
    <w:rsid w:val="00183BCC"/>
    <w:rsid w:val="00187DD9"/>
    <w:rsid w:val="00194ED4"/>
    <w:rsid w:val="001A29EF"/>
    <w:rsid w:val="001A2ADF"/>
    <w:rsid w:val="001B6A5E"/>
    <w:rsid w:val="001B7526"/>
    <w:rsid w:val="001C5291"/>
    <w:rsid w:val="001D0374"/>
    <w:rsid w:val="001D167F"/>
    <w:rsid w:val="001D3F87"/>
    <w:rsid w:val="001D515D"/>
    <w:rsid w:val="001D5637"/>
    <w:rsid w:val="001E12E2"/>
    <w:rsid w:val="001E2EB1"/>
    <w:rsid w:val="001F0B2B"/>
    <w:rsid w:val="001F344B"/>
    <w:rsid w:val="001F3EA9"/>
    <w:rsid w:val="00210C92"/>
    <w:rsid w:val="00212416"/>
    <w:rsid w:val="00213413"/>
    <w:rsid w:val="0022509D"/>
    <w:rsid w:val="00231AD9"/>
    <w:rsid w:val="00232FB1"/>
    <w:rsid w:val="00233480"/>
    <w:rsid w:val="00240045"/>
    <w:rsid w:val="00247633"/>
    <w:rsid w:val="002678FA"/>
    <w:rsid w:val="00270414"/>
    <w:rsid w:val="00272C6D"/>
    <w:rsid w:val="00282EEB"/>
    <w:rsid w:val="00296626"/>
    <w:rsid w:val="002C74D5"/>
    <w:rsid w:val="002D725F"/>
    <w:rsid w:val="002F13E1"/>
    <w:rsid w:val="002F370B"/>
    <w:rsid w:val="002F3920"/>
    <w:rsid w:val="00303253"/>
    <w:rsid w:val="003070F6"/>
    <w:rsid w:val="0031274A"/>
    <w:rsid w:val="00320389"/>
    <w:rsid w:val="0032115F"/>
    <w:rsid w:val="00323F46"/>
    <w:rsid w:val="00332B3D"/>
    <w:rsid w:val="0033518F"/>
    <w:rsid w:val="00336D58"/>
    <w:rsid w:val="00341318"/>
    <w:rsid w:val="00346118"/>
    <w:rsid w:val="00347F38"/>
    <w:rsid w:val="003559C4"/>
    <w:rsid w:val="0035769C"/>
    <w:rsid w:val="003626FF"/>
    <w:rsid w:val="00362BE0"/>
    <w:rsid w:val="00367BBA"/>
    <w:rsid w:val="00373144"/>
    <w:rsid w:val="0037730E"/>
    <w:rsid w:val="003834F9"/>
    <w:rsid w:val="00393CBF"/>
    <w:rsid w:val="003A1A1B"/>
    <w:rsid w:val="003A1A9F"/>
    <w:rsid w:val="003C3825"/>
    <w:rsid w:val="003C3858"/>
    <w:rsid w:val="003C5856"/>
    <w:rsid w:val="003C5DD8"/>
    <w:rsid w:val="003C6C6D"/>
    <w:rsid w:val="003E394D"/>
    <w:rsid w:val="003E3F65"/>
    <w:rsid w:val="003E728A"/>
    <w:rsid w:val="003F0B9A"/>
    <w:rsid w:val="003F1F1B"/>
    <w:rsid w:val="004031EC"/>
    <w:rsid w:val="00405967"/>
    <w:rsid w:val="004111C4"/>
    <w:rsid w:val="00411D48"/>
    <w:rsid w:val="00414DFA"/>
    <w:rsid w:val="004244F5"/>
    <w:rsid w:val="00424732"/>
    <w:rsid w:val="004350EA"/>
    <w:rsid w:val="00440273"/>
    <w:rsid w:val="00454E9D"/>
    <w:rsid w:val="00455144"/>
    <w:rsid w:val="00467FF2"/>
    <w:rsid w:val="00474F3A"/>
    <w:rsid w:val="00486EED"/>
    <w:rsid w:val="004953FD"/>
    <w:rsid w:val="00496B23"/>
    <w:rsid w:val="004A4DCD"/>
    <w:rsid w:val="004B3A98"/>
    <w:rsid w:val="004D0BEF"/>
    <w:rsid w:val="004D4B16"/>
    <w:rsid w:val="004E4DE5"/>
    <w:rsid w:val="00506047"/>
    <w:rsid w:val="00510F69"/>
    <w:rsid w:val="005119CD"/>
    <w:rsid w:val="005133EA"/>
    <w:rsid w:val="00530610"/>
    <w:rsid w:val="00534E11"/>
    <w:rsid w:val="005354CF"/>
    <w:rsid w:val="00536FC7"/>
    <w:rsid w:val="0056018D"/>
    <w:rsid w:val="00561196"/>
    <w:rsid w:val="00561DFD"/>
    <w:rsid w:val="00567038"/>
    <w:rsid w:val="00575755"/>
    <w:rsid w:val="0058243C"/>
    <w:rsid w:val="00583E2E"/>
    <w:rsid w:val="005A27DB"/>
    <w:rsid w:val="005A4CE7"/>
    <w:rsid w:val="005A76C8"/>
    <w:rsid w:val="005C2DA1"/>
    <w:rsid w:val="005C4BD8"/>
    <w:rsid w:val="005D09D6"/>
    <w:rsid w:val="005D6F19"/>
    <w:rsid w:val="00605F8E"/>
    <w:rsid w:val="006123E7"/>
    <w:rsid w:val="006162D9"/>
    <w:rsid w:val="006249B8"/>
    <w:rsid w:val="00646273"/>
    <w:rsid w:val="00646793"/>
    <w:rsid w:val="00657646"/>
    <w:rsid w:val="00660153"/>
    <w:rsid w:val="00667660"/>
    <w:rsid w:val="00677C52"/>
    <w:rsid w:val="00687EF5"/>
    <w:rsid w:val="006A05AE"/>
    <w:rsid w:val="006A492C"/>
    <w:rsid w:val="006B3FF6"/>
    <w:rsid w:val="006B508E"/>
    <w:rsid w:val="006B6B66"/>
    <w:rsid w:val="006C2B23"/>
    <w:rsid w:val="006D1C1A"/>
    <w:rsid w:val="006D38B1"/>
    <w:rsid w:val="006D6613"/>
    <w:rsid w:val="006E0DD2"/>
    <w:rsid w:val="006F1985"/>
    <w:rsid w:val="006F2136"/>
    <w:rsid w:val="007142F6"/>
    <w:rsid w:val="00715C1B"/>
    <w:rsid w:val="00716407"/>
    <w:rsid w:val="007167C3"/>
    <w:rsid w:val="00741EC9"/>
    <w:rsid w:val="007444FF"/>
    <w:rsid w:val="00765AB2"/>
    <w:rsid w:val="007811C9"/>
    <w:rsid w:val="00781DD6"/>
    <w:rsid w:val="00782C3B"/>
    <w:rsid w:val="00785D66"/>
    <w:rsid w:val="00786A79"/>
    <w:rsid w:val="007A63F2"/>
    <w:rsid w:val="007B4F63"/>
    <w:rsid w:val="007B6BB7"/>
    <w:rsid w:val="007C1E1C"/>
    <w:rsid w:val="007D42B6"/>
    <w:rsid w:val="007D6D5E"/>
    <w:rsid w:val="007E3C4E"/>
    <w:rsid w:val="007F389D"/>
    <w:rsid w:val="007F4D99"/>
    <w:rsid w:val="00802B8A"/>
    <w:rsid w:val="0080408E"/>
    <w:rsid w:val="00815B38"/>
    <w:rsid w:val="00817586"/>
    <w:rsid w:val="00817C85"/>
    <w:rsid w:val="008206FC"/>
    <w:rsid w:val="00824712"/>
    <w:rsid w:val="008273FF"/>
    <w:rsid w:val="00841089"/>
    <w:rsid w:val="0084451F"/>
    <w:rsid w:val="00856C2B"/>
    <w:rsid w:val="00872F4C"/>
    <w:rsid w:val="00875025"/>
    <w:rsid w:val="008940E4"/>
    <w:rsid w:val="008977C1"/>
    <w:rsid w:val="008A6EC1"/>
    <w:rsid w:val="008B34EF"/>
    <w:rsid w:val="008B4F41"/>
    <w:rsid w:val="008D3E20"/>
    <w:rsid w:val="008E79EB"/>
    <w:rsid w:val="008F0630"/>
    <w:rsid w:val="008F3C76"/>
    <w:rsid w:val="00902AEA"/>
    <w:rsid w:val="00912362"/>
    <w:rsid w:val="00914384"/>
    <w:rsid w:val="00924379"/>
    <w:rsid w:val="0095155B"/>
    <w:rsid w:val="00953ADD"/>
    <w:rsid w:val="009561A5"/>
    <w:rsid w:val="0097257D"/>
    <w:rsid w:val="00972E07"/>
    <w:rsid w:val="00986F90"/>
    <w:rsid w:val="00987275"/>
    <w:rsid w:val="00987DF7"/>
    <w:rsid w:val="00991CC6"/>
    <w:rsid w:val="0099625B"/>
    <w:rsid w:val="009A218E"/>
    <w:rsid w:val="009A240A"/>
    <w:rsid w:val="009A5E8B"/>
    <w:rsid w:val="009B40BC"/>
    <w:rsid w:val="009B529F"/>
    <w:rsid w:val="009C480C"/>
    <w:rsid w:val="00A123E1"/>
    <w:rsid w:val="00A27CD3"/>
    <w:rsid w:val="00A36045"/>
    <w:rsid w:val="00A36E0B"/>
    <w:rsid w:val="00A42437"/>
    <w:rsid w:val="00A43F87"/>
    <w:rsid w:val="00A443F3"/>
    <w:rsid w:val="00A4509F"/>
    <w:rsid w:val="00A47502"/>
    <w:rsid w:val="00A54479"/>
    <w:rsid w:val="00A64D91"/>
    <w:rsid w:val="00A66A48"/>
    <w:rsid w:val="00A8264E"/>
    <w:rsid w:val="00A94FAA"/>
    <w:rsid w:val="00AA522F"/>
    <w:rsid w:val="00AB462A"/>
    <w:rsid w:val="00AB7ECD"/>
    <w:rsid w:val="00AF7D6B"/>
    <w:rsid w:val="00B00A0D"/>
    <w:rsid w:val="00B0468F"/>
    <w:rsid w:val="00B05A79"/>
    <w:rsid w:val="00B23EB5"/>
    <w:rsid w:val="00B26464"/>
    <w:rsid w:val="00B34690"/>
    <w:rsid w:val="00B42295"/>
    <w:rsid w:val="00B45DE0"/>
    <w:rsid w:val="00B52A8A"/>
    <w:rsid w:val="00B748A2"/>
    <w:rsid w:val="00BB4DE8"/>
    <w:rsid w:val="00BB54B1"/>
    <w:rsid w:val="00BC1808"/>
    <w:rsid w:val="00BC7493"/>
    <w:rsid w:val="00BC7951"/>
    <w:rsid w:val="00BD0039"/>
    <w:rsid w:val="00BE0A5F"/>
    <w:rsid w:val="00BE353E"/>
    <w:rsid w:val="00BE3697"/>
    <w:rsid w:val="00BF0EDE"/>
    <w:rsid w:val="00C04B0A"/>
    <w:rsid w:val="00C11D04"/>
    <w:rsid w:val="00C174D5"/>
    <w:rsid w:val="00C268C0"/>
    <w:rsid w:val="00C33528"/>
    <w:rsid w:val="00C41A19"/>
    <w:rsid w:val="00C42058"/>
    <w:rsid w:val="00C55D5D"/>
    <w:rsid w:val="00C572EB"/>
    <w:rsid w:val="00C61DAA"/>
    <w:rsid w:val="00C67D40"/>
    <w:rsid w:val="00C763A7"/>
    <w:rsid w:val="00C7696C"/>
    <w:rsid w:val="00C8352A"/>
    <w:rsid w:val="00C90D80"/>
    <w:rsid w:val="00C951E5"/>
    <w:rsid w:val="00CB2361"/>
    <w:rsid w:val="00CC14E8"/>
    <w:rsid w:val="00CC6AC5"/>
    <w:rsid w:val="00CC7649"/>
    <w:rsid w:val="00CC7A30"/>
    <w:rsid w:val="00CE079E"/>
    <w:rsid w:val="00CE7D4C"/>
    <w:rsid w:val="00CF44A9"/>
    <w:rsid w:val="00CF5C56"/>
    <w:rsid w:val="00CF6F0F"/>
    <w:rsid w:val="00D02A15"/>
    <w:rsid w:val="00D10CC1"/>
    <w:rsid w:val="00D1326E"/>
    <w:rsid w:val="00D13F70"/>
    <w:rsid w:val="00D3366C"/>
    <w:rsid w:val="00D40ABE"/>
    <w:rsid w:val="00D47702"/>
    <w:rsid w:val="00D73125"/>
    <w:rsid w:val="00D73201"/>
    <w:rsid w:val="00D823F5"/>
    <w:rsid w:val="00D85545"/>
    <w:rsid w:val="00D92474"/>
    <w:rsid w:val="00D9728E"/>
    <w:rsid w:val="00DA3558"/>
    <w:rsid w:val="00DA4F7A"/>
    <w:rsid w:val="00DB0414"/>
    <w:rsid w:val="00DB0FA6"/>
    <w:rsid w:val="00DB3B61"/>
    <w:rsid w:val="00DC2B14"/>
    <w:rsid w:val="00DC5AB3"/>
    <w:rsid w:val="00DD13A7"/>
    <w:rsid w:val="00DD4AB3"/>
    <w:rsid w:val="00DE0272"/>
    <w:rsid w:val="00DF140C"/>
    <w:rsid w:val="00DF4525"/>
    <w:rsid w:val="00E00114"/>
    <w:rsid w:val="00E1038C"/>
    <w:rsid w:val="00E17CF3"/>
    <w:rsid w:val="00E21CF5"/>
    <w:rsid w:val="00E318C2"/>
    <w:rsid w:val="00E46B69"/>
    <w:rsid w:val="00E5457E"/>
    <w:rsid w:val="00E562B9"/>
    <w:rsid w:val="00E73E49"/>
    <w:rsid w:val="00E76050"/>
    <w:rsid w:val="00E9067A"/>
    <w:rsid w:val="00E90B55"/>
    <w:rsid w:val="00E97DDF"/>
    <w:rsid w:val="00EB622A"/>
    <w:rsid w:val="00EC0954"/>
    <w:rsid w:val="00EC1B28"/>
    <w:rsid w:val="00EC2873"/>
    <w:rsid w:val="00EC4D99"/>
    <w:rsid w:val="00EC721F"/>
    <w:rsid w:val="00ED03BC"/>
    <w:rsid w:val="00ED2B44"/>
    <w:rsid w:val="00ED649D"/>
    <w:rsid w:val="00EE620A"/>
    <w:rsid w:val="00F06C58"/>
    <w:rsid w:val="00F12025"/>
    <w:rsid w:val="00F24557"/>
    <w:rsid w:val="00F31644"/>
    <w:rsid w:val="00F367D3"/>
    <w:rsid w:val="00F43C3D"/>
    <w:rsid w:val="00F510EE"/>
    <w:rsid w:val="00F554D3"/>
    <w:rsid w:val="00F55730"/>
    <w:rsid w:val="00F64241"/>
    <w:rsid w:val="00F674E9"/>
    <w:rsid w:val="00F67B28"/>
    <w:rsid w:val="00F71F9C"/>
    <w:rsid w:val="00F729E8"/>
    <w:rsid w:val="00F72FD0"/>
    <w:rsid w:val="00F74230"/>
    <w:rsid w:val="00F77EF3"/>
    <w:rsid w:val="00F826B2"/>
    <w:rsid w:val="00F82710"/>
    <w:rsid w:val="00F93310"/>
    <w:rsid w:val="00F94A02"/>
    <w:rsid w:val="00F96B5C"/>
    <w:rsid w:val="00FA2C94"/>
    <w:rsid w:val="00FA6FCD"/>
    <w:rsid w:val="00FB42B2"/>
    <w:rsid w:val="00FB798C"/>
    <w:rsid w:val="00FD6788"/>
    <w:rsid w:val="00FE4210"/>
    <w:rsid w:val="00FE73B3"/>
    <w:rsid w:val="00FF2FB8"/>
  </w:rsids>
  <m:mathPr>
    <m:mathFont m:val="Cambria Math"/>
    <m:brkBin m:val="before"/>
    <m:brkBinSub m:val="--"/>
    <m:smallFrac m:val="0"/>
    <m:dispDef/>
    <m:lMargin m:val="0"/>
    <m:rMargin m:val="0"/>
    <m:defJc m:val="centerGroup"/>
    <m:wrapIndent m:val="1440"/>
    <m:intLim m:val="subSup"/>
    <m:naryLim m:val="undOvr"/>
  </m:mathPr>
  <w:themeFontLang w:val="en-T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T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C67D4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C67D40"/>
    <w:rPr>
      <w:rFonts w:asciiTheme="majorHAnsi" w:eastAsiaTheme="majorEastAsia" w:hAnsiTheme="majorHAnsi" w:cstheme="majorBidi"/>
      <w:color w:val="17365D" w:themeColor="text2" w:themeShade="BF"/>
      <w:spacing w:val="5"/>
      <w:kern w:val="28"/>
      <w:sz w:val="52"/>
      <w:szCs w:val="52"/>
    </w:rPr>
  </w:style>
  <w:style w:type="paragraph" w:styleId="FootnoteText">
    <w:name w:val="footnote text"/>
    <w:basedOn w:val="Normal"/>
    <w:link w:val="FootnoteTextChar"/>
    <w:uiPriority w:val="99"/>
    <w:semiHidden/>
    <w:unhideWhenUsed/>
    <w:rsid w:val="00C67D40"/>
    <w:pPr>
      <w:spacing w:after="0" w:line="240" w:lineRule="auto"/>
    </w:pPr>
    <w:rPr>
      <w:rFonts w:eastAsiaTheme="minorEastAsia"/>
      <w:sz w:val="20"/>
      <w:szCs w:val="20"/>
      <w:lang w:eastAsia="en-TT"/>
    </w:rPr>
  </w:style>
  <w:style w:type="character" w:customStyle="1" w:styleId="FootnoteTextChar">
    <w:name w:val="Footnote Text Char"/>
    <w:basedOn w:val="DefaultParagraphFont"/>
    <w:link w:val="FootnoteText"/>
    <w:uiPriority w:val="99"/>
    <w:semiHidden/>
    <w:rsid w:val="00C67D40"/>
    <w:rPr>
      <w:rFonts w:eastAsiaTheme="minorEastAsia"/>
      <w:sz w:val="20"/>
      <w:szCs w:val="20"/>
      <w:lang w:eastAsia="en-TT"/>
    </w:rPr>
  </w:style>
  <w:style w:type="character" w:styleId="FootnoteReference">
    <w:name w:val="footnote reference"/>
    <w:basedOn w:val="DefaultParagraphFont"/>
    <w:uiPriority w:val="99"/>
    <w:semiHidden/>
    <w:unhideWhenUsed/>
    <w:rsid w:val="00C67D40"/>
    <w:rPr>
      <w:vertAlign w:val="superscript"/>
    </w:rPr>
  </w:style>
  <w:style w:type="paragraph" w:styleId="ListParagraph">
    <w:name w:val="List Paragraph"/>
    <w:basedOn w:val="Normal"/>
    <w:uiPriority w:val="34"/>
    <w:qFormat/>
    <w:rsid w:val="00C67D40"/>
    <w:pPr>
      <w:ind w:left="720"/>
      <w:contextualSpacing/>
    </w:pPr>
    <w:rPr>
      <w:rFonts w:eastAsiaTheme="minorEastAsia"/>
      <w:lang w:eastAsia="en-T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T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C67D4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C67D40"/>
    <w:rPr>
      <w:rFonts w:asciiTheme="majorHAnsi" w:eastAsiaTheme="majorEastAsia" w:hAnsiTheme="majorHAnsi" w:cstheme="majorBidi"/>
      <w:color w:val="17365D" w:themeColor="text2" w:themeShade="BF"/>
      <w:spacing w:val="5"/>
      <w:kern w:val="28"/>
      <w:sz w:val="52"/>
      <w:szCs w:val="52"/>
    </w:rPr>
  </w:style>
  <w:style w:type="paragraph" w:styleId="FootnoteText">
    <w:name w:val="footnote text"/>
    <w:basedOn w:val="Normal"/>
    <w:link w:val="FootnoteTextChar"/>
    <w:uiPriority w:val="99"/>
    <w:semiHidden/>
    <w:unhideWhenUsed/>
    <w:rsid w:val="00C67D40"/>
    <w:pPr>
      <w:spacing w:after="0" w:line="240" w:lineRule="auto"/>
    </w:pPr>
    <w:rPr>
      <w:rFonts w:eastAsiaTheme="minorEastAsia"/>
      <w:sz w:val="20"/>
      <w:szCs w:val="20"/>
      <w:lang w:eastAsia="en-TT"/>
    </w:rPr>
  </w:style>
  <w:style w:type="character" w:customStyle="1" w:styleId="FootnoteTextChar">
    <w:name w:val="Footnote Text Char"/>
    <w:basedOn w:val="DefaultParagraphFont"/>
    <w:link w:val="FootnoteText"/>
    <w:uiPriority w:val="99"/>
    <w:semiHidden/>
    <w:rsid w:val="00C67D40"/>
    <w:rPr>
      <w:rFonts w:eastAsiaTheme="minorEastAsia"/>
      <w:sz w:val="20"/>
      <w:szCs w:val="20"/>
      <w:lang w:eastAsia="en-TT"/>
    </w:rPr>
  </w:style>
  <w:style w:type="character" w:styleId="FootnoteReference">
    <w:name w:val="footnote reference"/>
    <w:basedOn w:val="DefaultParagraphFont"/>
    <w:uiPriority w:val="99"/>
    <w:semiHidden/>
    <w:unhideWhenUsed/>
    <w:rsid w:val="00C67D40"/>
    <w:rPr>
      <w:vertAlign w:val="superscript"/>
    </w:rPr>
  </w:style>
  <w:style w:type="paragraph" w:styleId="ListParagraph">
    <w:name w:val="List Paragraph"/>
    <w:basedOn w:val="Normal"/>
    <w:uiPriority w:val="34"/>
    <w:qFormat/>
    <w:rsid w:val="00C67D40"/>
    <w:pPr>
      <w:ind w:left="720"/>
      <w:contextualSpacing/>
    </w:pPr>
    <w:rPr>
      <w:rFonts w:eastAsiaTheme="minorEastAsia"/>
      <w:lang w:eastAsia="en-T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1</Pages>
  <Words>836</Words>
  <Characters>4767</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Christian George (TTMA)</dc:creator>
  <cp:lastModifiedBy>Christian George (TTMA)</cp:lastModifiedBy>
  <cp:revision>2</cp:revision>
  <dcterms:created xsi:type="dcterms:W3CDTF">2017-02-15T14:44:00Z</dcterms:created>
  <dcterms:modified xsi:type="dcterms:W3CDTF">2017-02-15T17:11:00Z</dcterms:modified>
</cp:coreProperties>
</file>